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0" w:rsidRPr="004C3EFB" w:rsidRDefault="00806CC0" w:rsidP="00806CC0">
      <w:pPr>
        <w:widowControl/>
        <w:rPr>
          <w:rFonts w:ascii="Times New Roman" w:eastAsia="標楷體" w:hAnsi="Times New Roman" w:hint="eastAsia"/>
          <w:szCs w:val="24"/>
          <w:bdr w:val="single" w:sz="4" w:space="0" w:color="auto"/>
        </w:rPr>
      </w:pPr>
      <w:r w:rsidRPr="004C3EFB">
        <w:rPr>
          <w:rFonts w:ascii="標楷體" w:eastAsia="標楷體" w:hAnsi="標楷體" w:hint="eastAsia"/>
          <w:szCs w:val="24"/>
        </w:rPr>
        <w:t xml:space="preserve">                                          </w:t>
      </w:r>
    </w:p>
    <w:tbl>
      <w:tblPr>
        <w:tblpPr w:leftFromText="180" w:rightFromText="180" w:vertAnchor="page" w:horzAnchor="margin" w:tblpY="2916"/>
        <w:tblW w:w="9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59"/>
        <w:gridCol w:w="1767"/>
        <w:gridCol w:w="7151"/>
      </w:tblGrid>
      <w:tr w:rsidR="00806CC0" w:rsidRPr="004C3EFB" w:rsidTr="00806CC0">
        <w:trPr>
          <w:trHeight w:val="893"/>
          <w:tblHeader/>
        </w:trPr>
        <w:tc>
          <w:tcPr>
            <w:tcW w:w="1059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86" w:right="206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項次</w:t>
            </w: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5" w:left="1842" w:rightChars="86" w:right="206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科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 xml:space="preserve">   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目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5" w:left="1842" w:rightChars="86" w:right="206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參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　　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考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　　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書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　　</w:t>
            </w: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目</w:t>
            </w:r>
          </w:p>
        </w:tc>
      </w:tr>
      <w:tr w:rsidR="00806CC0" w:rsidRPr="004C3EFB" w:rsidTr="00806CC0">
        <w:trPr>
          <w:trHeight w:val="915"/>
        </w:trPr>
        <w:tc>
          <w:tcPr>
            <w:tcW w:w="1059" w:type="dxa"/>
            <w:vMerge w:val="restart"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理工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測驗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proofErr w:type="gramStart"/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普通物理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4" w:left="226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>"Fundamentals of Physics", D. Halliday, R. Resnick, and J. Walker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(John Wiley &amp; Sons,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最新版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)</w:t>
            </w:r>
          </w:p>
        </w:tc>
      </w:tr>
      <w:tr w:rsidR="00806CC0" w:rsidRPr="004C3EFB" w:rsidTr="00806CC0">
        <w:trPr>
          <w:trHeight w:val="843"/>
        </w:trPr>
        <w:tc>
          <w:tcPr>
            <w:tcW w:w="1059" w:type="dxa"/>
            <w:vMerge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1739" w:rightChars="-22" w:right="-53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普通化學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4" w:left="226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>"Chemical Principle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s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",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S.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 xml:space="preserve">S. </w:t>
            </w:r>
            <w:proofErr w:type="spellStart"/>
            <w:r w:rsidRPr="004C3EFB">
              <w:rPr>
                <w:rFonts w:ascii="Times New Roman" w:eastAsia="標楷體" w:hAnsi="標楷體"/>
                <w:b/>
                <w:szCs w:val="24"/>
              </w:rPr>
              <w:t>Zumda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h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l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and D. J.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DeCoste</w:t>
            </w:r>
            <w:proofErr w:type="spellEnd"/>
            <w:r w:rsidRPr="004C3EFB">
              <w:rPr>
                <w:rFonts w:ascii="Times New Roman" w:eastAsia="標楷體" w:hAnsi="標楷體"/>
                <w:b/>
                <w:szCs w:val="24"/>
              </w:rPr>
              <w:t>, (Cengage Learning,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最新版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)</w:t>
            </w:r>
          </w:p>
        </w:tc>
      </w:tr>
      <w:tr w:rsidR="00806CC0" w:rsidRPr="004C3EFB" w:rsidTr="00806CC0">
        <w:trPr>
          <w:trHeight w:val="828"/>
        </w:trPr>
        <w:tc>
          <w:tcPr>
            <w:tcW w:w="1059" w:type="dxa"/>
            <w:vMerge w:val="restart"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理工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測驗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工程數學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4" w:left="226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>"Advanced Engineering Mathematics", 2nd ed., M.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D. Greenberg, (Prentice-Hall, 2007)</w:t>
            </w:r>
          </w:p>
        </w:tc>
      </w:tr>
      <w:tr w:rsidR="00806CC0" w:rsidRPr="004C3EFB" w:rsidTr="00806CC0">
        <w:trPr>
          <w:trHeight w:val="981"/>
        </w:trPr>
        <w:tc>
          <w:tcPr>
            <w:tcW w:w="1059" w:type="dxa"/>
            <w:vMerge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1739" w:rightChars="-22" w:right="-53" w:hangingChars="692" w:hanging="1662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color w:val="000000"/>
                <w:szCs w:val="24"/>
              </w:rPr>
              <w:t>熱力學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95" w:left="228" w:rightChars="86" w:right="206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/>
                <w:b/>
                <w:szCs w:val="24"/>
              </w:rPr>
              <w:t xml:space="preserve">"Introduction to Thermodynamics of Materials",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5</w:t>
            </w:r>
            <w:r w:rsidRPr="004C3EFB">
              <w:rPr>
                <w:rFonts w:ascii="Times New Roman" w:eastAsia="標楷體" w:hAnsi="標楷體" w:hint="eastAsia"/>
                <w:b/>
                <w:szCs w:val="24"/>
                <w:vertAlign w:val="superscript"/>
              </w:rPr>
              <w:t>th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 xml:space="preserve"> ed., D.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R. Gaskell, Chapters 1-12, (Taylor &amp; Francis,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2008</w:t>
            </w:r>
            <w:r w:rsidRPr="004C3EFB">
              <w:rPr>
                <w:rFonts w:ascii="Times New Roman" w:eastAsia="標楷體" w:hAnsi="標楷體"/>
                <w:b/>
                <w:szCs w:val="24"/>
              </w:rPr>
              <w:t>)</w:t>
            </w:r>
          </w:p>
        </w:tc>
      </w:tr>
      <w:tr w:rsidR="00806CC0" w:rsidRPr="004C3EFB" w:rsidTr="00806CC0">
        <w:trPr>
          <w:trHeight w:val="1830"/>
        </w:trPr>
        <w:tc>
          <w:tcPr>
            <w:tcW w:w="1059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理工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測驗</w:t>
            </w:r>
          </w:p>
          <w:p w:rsidR="00806CC0" w:rsidRPr="004C3EFB" w:rsidRDefault="00806CC0" w:rsidP="00806CC0">
            <w:pPr>
              <w:spacing w:line="320" w:lineRule="exact"/>
              <w:ind w:leftChars="32" w:left="77" w:rightChars="-22" w:right="-53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1767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" w:left="17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材料科學</w:t>
            </w:r>
          </w:p>
          <w:p w:rsidR="00806CC0" w:rsidRPr="004C3EFB" w:rsidRDefault="00806CC0" w:rsidP="00806CC0">
            <w:pPr>
              <w:spacing w:line="320" w:lineRule="exact"/>
              <w:ind w:leftChars="7" w:left="17"/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與工程</w:t>
            </w:r>
          </w:p>
        </w:tc>
        <w:tc>
          <w:tcPr>
            <w:tcW w:w="7151" w:type="dxa"/>
            <w:vAlign w:val="center"/>
          </w:tcPr>
          <w:p w:rsidR="00806CC0" w:rsidRPr="004C3EFB" w:rsidRDefault="00806CC0" w:rsidP="00806CC0">
            <w:pPr>
              <w:spacing w:line="320" w:lineRule="exact"/>
              <w:ind w:leftChars="75" w:left="512" w:rightChars="86" w:right="206" w:hangingChars="138" w:hanging="332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1. "Foundations of Materials Science and Engineering", William F. Smith and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Javad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Hashemi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(McGraw-Hill, 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最新版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  <w:p w:rsidR="00806CC0" w:rsidRPr="004C3EFB" w:rsidRDefault="00806CC0" w:rsidP="00806CC0">
            <w:pPr>
              <w:spacing w:line="320" w:lineRule="exact"/>
              <w:ind w:leftChars="75" w:left="512" w:rightChars="86" w:right="206" w:hangingChars="138" w:hanging="332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2. "Materials---Engineering, Science, Processing, and Design", Michael Ashby, Hugh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Shercliff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and David </w:t>
            </w:r>
            <w:proofErr w:type="spell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Cebon</w:t>
            </w:r>
            <w:proofErr w:type="spell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 xml:space="preserve">, (Elsevier, </w:t>
            </w:r>
            <w:proofErr w:type="gramStart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最</w:t>
            </w:r>
            <w:proofErr w:type="gramEnd"/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新版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)</w:t>
            </w:r>
            <w:r w:rsidRPr="004C3EFB">
              <w:rPr>
                <w:rFonts w:ascii="Times New Roman" w:eastAsia="標楷體" w:hAnsi="標楷體" w:hint="eastAsia"/>
                <w:b/>
                <w:szCs w:val="24"/>
              </w:rPr>
              <w:t>。</w:t>
            </w:r>
          </w:p>
        </w:tc>
      </w:tr>
    </w:tbl>
    <w:p w:rsidR="000B7AB3" w:rsidRPr="00806CC0" w:rsidRDefault="00806CC0">
      <w:r w:rsidRPr="00806CC0">
        <w:rPr>
          <w:rFonts w:hint="eastAsia"/>
        </w:rPr>
        <w:t>【</w:t>
      </w:r>
      <w:r w:rsidRPr="00806CC0">
        <w:rPr>
          <w:rFonts w:hint="eastAsia"/>
        </w:rPr>
        <w:t>10</w:t>
      </w:r>
      <w:r>
        <w:rPr>
          <w:rFonts w:hint="eastAsia"/>
        </w:rPr>
        <w:t>6</w:t>
      </w:r>
      <w:r w:rsidRPr="00806CC0">
        <w:rPr>
          <w:rFonts w:hint="eastAsia"/>
        </w:rPr>
        <w:t>學年度碩士入學考試參考書目】</w:t>
      </w:r>
      <w:bookmarkStart w:id="0" w:name="_GoBack"/>
      <w:bookmarkEnd w:id="0"/>
    </w:p>
    <w:sectPr w:rsidR="000B7AB3" w:rsidRPr="00806CC0" w:rsidSect="00806CC0">
      <w:pgSz w:w="11906" w:h="16838"/>
      <w:pgMar w:top="1440" w:right="1797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0"/>
    <w:rsid w:val="000B7AB3"/>
    <w:rsid w:val="008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RubyLiu</dc:creator>
  <cp:lastModifiedBy>RubyLiu</cp:lastModifiedBy>
  <cp:revision>1</cp:revision>
  <dcterms:created xsi:type="dcterms:W3CDTF">2016-11-22T06:26:00Z</dcterms:created>
  <dcterms:modified xsi:type="dcterms:W3CDTF">2016-11-22T06:27:00Z</dcterms:modified>
</cp:coreProperties>
</file>